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240" w:afterAutospacing="0" w:line="705" w:lineRule="atLeast"/>
        <w:ind w:left="0" w:right="0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z w:val="48"/>
          <w:szCs w:val="48"/>
          <w:bdr w:val="none" w:color="auto" w:sz="0" w:space="0"/>
        </w:rPr>
        <w:t>抚顺市人民政府令第197号《抚顺市人民政府关于废止部分市政府规章的决定》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FF0000"/>
          <w:spacing w:val="90"/>
          <w:sz w:val="84"/>
          <w:szCs w:val="84"/>
          <w:bdr w:val="none" w:color="auto" w:sz="0" w:space="0"/>
        </w:rPr>
        <w:t>抚顺市人民政府令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宋体" w:hAnsi="宋体" w:eastAsia="宋体" w:cs="宋体"/>
          <w:color w:val="FF0000"/>
          <w:spacing w:val="90"/>
          <w:sz w:val="84"/>
          <w:szCs w:val="8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</w:pPr>
      <w:r>
        <w:rPr>
          <w:rStyle w:val="6"/>
          <w:rFonts w:ascii="仿宋_GB2312" w:eastAsia="仿宋_GB2312" w:cs="仿宋_GB2312"/>
          <w:sz w:val="30"/>
          <w:szCs w:val="30"/>
          <w:bdr w:val="none" w:color="auto" w:sz="0" w:space="0"/>
        </w:rPr>
        <w:t>第</w:t>
      </w:r>
      <w:r>
        <w:rPr>
          <w:rStyle w:val="6"/>
          <w:rFonts w:hint="eastAsia" w:ascii="仿宋_GB2312" w:eastAsia="仿宋_GB2312" w:cs="仿宋_GB2312"/>
          <w:sz w:val="30"/>
          <w:szCs w:val="30"/>
          <w:bdr w:val="none" w:color="auto" w:sz="0" w:space="0"/>
        </w:rPr>
        <w:t>197号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《抚顺市人民政府关于废止部分市政府规章的决定》业经2023年12月1日市政府第十七届三十一次常务会议审议通过，现予公布，自2024年1月29日起施行。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5400"/>
        <w:jc w:val="right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市长   高键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050"/>
        <w:jc w:val="right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       2024年1月29日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sz w:val="43"/>
          <w:szCs w:val="43"/>
          <w:bdr w:val="none" w:color="auto" w:sz="0" w:space="0"/>
        </w:rPr>
        <w:t>抚顺市人民政府关于废止部分市政府规章的决定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按照抚顺市人民政府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3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年立法计划安排，经抚顺市人民政府第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十七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届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三十一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次常务会议审议，现决定废止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以下两件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市政府规章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一、《抚顺市林权管理和林地保护办法》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2006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8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16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日市政府令第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121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号公布</w:t>
      </w: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）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二、《抚顺市二手车流通管理办法》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(2011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6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21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日市政府令第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158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号公布，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2017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4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5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日市政府令第</w:t>
      </w:r>
      <w:r>
        <w:rPr>
          <w:rFonts w:hint="default" w:ascii="Times New Roman" w:hAnsi="Times New Roman" w:eastAsia="仿宋_GB2312" w:cs="Times New Roman"/>
          <w:sz w:val="31"/>
          <w:szCs w:val="31"/>
          <w:bdr w:val="none" w:color="auto" w:sz="0" w:space="0"/>
        </w:rPr>
        <w:t>182</w:t>
      </w: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号修正）。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</w:pPr>
      <w:r>
        <w:rPr>
          <w:rFonts w:hint="eastAsia" w:ascii="仿宋_GB2312" w:hAnsi="Times New Roman" w:eastAsia="仿宋_GB2312" w:cs="仿宋_GB2312"/>
          <w:sz w:val="31"/>
          <w:szCs w:val="31"/>
          <w:bdr w:val="none" w:color="auto" w:sz="0" w:space="0"/>
        </w:rPr>
        <w:t>本决定自公布之日起施行。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DFmOWRiMmQxNzc2ZDRlYmFjMzcxMGMwZTU1MTcifQ=="/>
  </w:docVars>
  <w:rsids>
    <w:rsidRoot w:val="00000000"/>
    <w:rsid w:val="79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2024-02-05T01:31:36Z</dcterms:created>
  <dc:creator>Administrator</dc:creator>
  <cp:lastModifiedBy>Administrator</cp:lastModifiedBy>
  <dcterms:modified xsi:type="dcterms:W3CDTF">2024-02-05T01:33:38Z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3DDA921ADC1D4129B16BF36EFC542E97_12</vt:lpwstr>
  </property>
</Properties>
</file>